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B25F3">
        <w:t>22</w:t>
      </w:r>
      <w:r>
        <w:t xml:space="preserve">» </w:t>
      </w:r>
      <w:r w:rsidR="00690D92">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DB25F3">
        <w:t>785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690D92" w:rsidRDefault="006A0FA8" w:rsidP="006A0FA8">
      <w:pPr>
        <w:autoSpaceDE w:val="0"/>
        <w:spacing w:after="0"/>
        <w:jc w:val="center"/>
      </w:pPr>
      <w:r>
        <w:t>г. Алексин, ул. Монтажная, д.4</w:t>
      </w:r>
    </w:p>
    <w:p w:rsidR="006A0FA8" w:rsidRDefault="006A0FA8" w:rsidP="006A0FA8">
      <w:pPr>
        <w:autoSpaceDE w:val="0"/>
        <w:spacing w:after="0"/>
        <w:jc w:val="center"/>
      </w:pPr>
      <w:r>
        <w:t>г. Алексин, ул. Монтажная, д.5</w:t>
      </w:r>
    </w:p>
    <w:p w:rsidR="00690D92" w:rsidRDefault="000E26C1" w:rsidP="006A0FA8">
      <w:pPr>
        <w:autoSpaceDE w:val="0"/>
        <w:spacing w:after="0"/>
        <w:jc w:val="center"/>
      </w:pPr>
      <w:r>
        <w:t xml:space="preserve">Киреевский р-н, </w:t>
      </w:r>
      <w:r w:rsidR="006A0FA8">
        <w:t>пос. Бородинский, ул. Пушкина, д.30</w:t>
      </w:r>
    </w:p>
    <w:p w:rsidR="006A0FA8" w:rsidRDefault="000E26C1" w:rsidP="006A0FA8">
      <w:pPr>
        <w:autoSpaceDE w:val="0"/>
        <w:spacing w:after="0"/>
        <w:jc w:val="center"/>
      </w:pPr>
      <w:r>
        <w:t xml:space="preserve">г. Тула, </w:t>
      </w:r>
      <w:r w:rsidR="006A0FA8">
        <w:t>п. Шатск, ул. Ленина, д.14</w:t>
      </w:r>
    </w:p>
    <w:p w:rsidR="003F7C81" w:rsidRDefault="000E26C1" w:rsidP="006A0FA8">
      <w:pPr>
        <w:tabs>
          <w:tab w:val="left" w:pos="5334"/>
        </w:tabs>
        <w:autoSpaceDE w:val="0"/>
        <w:spacing w:after="0"/>
        <w:jc w:val="center"/>
      </w:pPr>
      <w:r>
        <w:t xml:space="preserve">Кимовский р-н, </w:t>
      </w:r>
      <w:r w:rsidR="006A0FA8">
        <w:t>п</w:t>
      </w:r>
      <w:r>
        <w:t>гт</w:t>
      </w:r>
      <w:r w:rsidR="006A0FA8">
        <w:t>. Новольвовск, ул. Центральная, д.6</w:t>
      </w:r>
    </w:p>
    <w:p w:rsidR="003F7C81" w:rsidRDefault="000E26C1" w:rsidP="006A0FA8">
      <w:pPr>
        <w:autoSpaceDE w:val="0"/>
        <w:spacing w:after="0"/>
        <w:jc w:val="center"/>
      </w:pPr>
      <w:r>
        <w:t xml:space="preserve">Куркинский р-н, </w:t>
      </w:r>
      <w:r w:rsidR="006A0FA8">
        <w:t>д. Шаховск</w:t>
      </w:r>
      <w:r>
        <w:t>ое</w:t>
      </w:r>
      <w:r w:rsidR="006A0FA8">
        <w:t>, ул. Школьная, д.1</w:t>
      </w:r>
    </w:p>
    <w:p w:rsidR="003F7C81" w:rsidRDefault="000E26C1" w:rsidP="006A0FA8">
      <w:pPr>
        <w:autoSpaceDE w:val="0"/>
        <w:spacing w:after="0"/>
        <w:jc w:val="center"/>
      </w:pPr>
      <w:r>
        <w:t xml:space="preserve">г. Тула, </w:t>
      </w:r>
      <w:r w:rsidR="006A0FA8">
        <w:t>п. Шатск, ул. Садовая, д.3</w:t>
      </w:r>
    </w:p>
    <w:p w:rsidR="00B825DF" w:rsidRDefault="00B825DF" w:rsidP="001C026D">
      <w:pPr>
        <w:autoSpaceDE w:val="0"/>
      </w:pPr>
    </w:p>
    <w:p w:rsidR="00B825DF" w:rsidRDefault="00B825DF" w:rsidP="001C026D">
      <w:pPr>
        <w:autoSpaceDE w:val="0"/>
      </w:pPr>
    </w:p>
    <w:p w:rsidR="00B825DF" w:rsidRDefault="00B825DF" w:rsidP="001C026D">
      <w:pPr>
        <w:autoSpaceDE w:val="0"/>
      </w:pPr>
    </w:p>
    <w:p w:rsidR="00B825DF" w:rsidRDefault="00B825D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D4D32" w:rsidP="001C026D">
      <w:pPr>
        <w:pStyle w:val="1f1"/>
        <w:rPr>
          <w:b w:val="0"/>
          <w:noProof/>
          <w:sz w:val="24"/>
          <w:szCs w:val="24"/>
        </w:rPr>
      </w:pPr>
      <w:r w:rsidRPr="00FD4D32">
        <w:rPr>
          <w:sz w:val="24"/>
          <w:szCs w:val="24"/>
        </w:rPr>
        <w:fldChar w:fldCharType="begin"/>
      </w:r>
      <w:r w:rsidR="001C026D" w:rsidRPr="00A76C1A">
        <w:rPr>
          <w:sz w:val="24"/>
          <w:szCs w:val="24"/>
        </w:rPr>
        <w:instrText xml:space="preserve"> TOC </w:instrText>
      </w:r>
      <w:r w:rsidRPr="00FD4D3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D4D3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D4D32" w:rsidRPr="00A76C1A">
        <w:rPr>
          <w:bCs/>
        </w:rPr>
        <w:fldChar w:fldCharType="begin"/>
      </w:r>
      <w:r w:rsidRPr="00A76C1A">
        <w:rPr>
          <w:bCs/>
        </w:rPr>
        <w:instrText xml:space="preserve"> REF _Ref166267456 \h  \* MERGEFORMAT </w:instrText>
      </w:r>
      <w:r w:rsidR="00FD4D32" w:rsidRPr="00A76C1A">
        <w:rPr>
          <w:bCs/>
        </w:rPr>
      </w:r>
      <w:r w:rsidR="00FD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D4D32" w:rsidRPr="00A76C1A">
        <w:rPr>
          <w:bCs/>
        </w:rPr>
        <w:fldChar w:fldCharType="begin"/>
      </w:r>
      <w:r w:rsidRPr="00A76C1A">
        <w:rPr>
          <w:bCs/>
        </w:rPr>
        <w:instrText xml:space="preserve"> REF _Ref166267457 \h  \* MERGEFORMAT </w:instrText>
      </w:r>
      <w:r w:rsidR="00FD4D32" w:rsidRPr="00A76C1A">
        <w:rPr>
          <w:bCs/>
        </w:rPr>
      </w:r>
      <w:r w:rsidR="00FD4D3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D4D32" w:rsidRPr="00A76C1A">
        <w:rPr>
          <w:bCs/>
        </w:rPr>
        <w:fldChar w:fldCharType="begin"/>
      </w:r>
      <w:r w:rsidRPr="00A76C1A">
        <w:rPr>
          <w:bCs/>
        </w:rPr>
        <w:instrText xml:space="preserve"> REF _Ref166267727 \h  \* MERGEFORMAT </w:instrText>
      </w:r>
      <w:r w:rsidR="00FD4D32" w:rsidRPr="00A76C1A">
        <w:rPr>
          <w:bCs/>
        </w:rPr>
      </w:r>
      <w:r w:rsidR="00FD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D4D32" w:rsidRPr="00A76C1A">
        <w:rPr>
          <w:bCs/>
        </w:rPr>
        <w:fldChar w:fldCharType="begin"/>
      </w:r>
      <w:r w:rsidRPr="00A76C1A">
        <w:rPr>
          <w:bCs/>
        </w:rPr>
        <w:instrText xml:space="preserve"> REF _Ref166311076 \h  \* MERGEFORMAT </w:instrText>
      </w:r>
      <w:r w:rsidR="00FD4D32" w:rsidRPr="00A76C1A">
        <w:rPr>
          <w:bCs/>
        </w:rPr>
      </w:r>
      <w:r w:rsidR="00FD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D4D32" w:rsidRPr="00A76C1A">
        <w:rPr>
          <w:bCs/>
        </w:rPr>
        <w:fldChar w:fldCharType="begin"/>
      </w:r>
      <w:r w:rsidRPr="00A76C1A">
        <w:rPr>
          <w:bCs/>
        </w:rPr>
        <w:instrText xml:space="preserve"> REF _Ref166311380 \h  \* MERGEFORMAT </w:instrText>
      </w:r>
      <w:r w:rsidR="00FD4D32" w:rsidRPr="00A76C1A">
        <w:rPr>
          <w:bCs/>
        </w:rPr>
      </w:r>
      <w:r w:rsidR="00FD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D4D32" w:rsidRPr="00A76C1A">
        <w:rPr>
          <w:bCs/>
        </w:rPr>
        <w:fldChar w:fldCharType="begin"/>
      </w:r>
      <w:r w:rsidRPr="00A76C1A">
        <w:rPr>
          <w:bCs/>
        </w:rPr>
        <w:instrText xml:space="preserve"> REF _Ref166312503 \h  \* MERGEFORMAT </w:instrText>
      </w:r>
      <w:r w:rsidR="00FD4D32" w:rsidRPr="00A76C1A">
        <w:rPr>
          <w:bCs/>
        </w:rPr>
      </w:r>
      <w:r w:rsidR="00FD4D3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D4D32" w:rsidRPr="00A76C1A">
        <w:rPr>
          <w:bCs/>
        </w:rPr>
        <w:fldChar w:fldCharType="begin"/>
      </w:r>
      <w:r w:rsidRPr="00A76C1A">
        <w:rPr>
          <w:bCs/>
        </w:rPr>
        <w:instrText xml:space="preserve"> REF _Ref166267727 \h  \* MERGEFORMAT </w:instrText>
      </w:r>
      <w:r w:rsidR="00FD4D32" w:rsidRPr="00A76C1A">
        <w:rPr>
          <w:bCs/>
        </w:rPr>
      </w:r>
      <w:r w:rsidR="00FD4D3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D4D32" w:rsidRPr="00856C74">
        <w:rPr>
          <w:bCs/>
        </w:rPr>
        <w:fldChar w:fldCharType="begin"/>
      </w:r>
      <w:r w:rsidRPr="00856C74">
        <w:rPr>
          <w:bCs/>
        </w:rPr>
        <w:instrText xml:space="preserve"> REF _Ref166315159 \h  \* MERGEFORMAT </w:instrText>
      </w:r>
      <w:r w:rsidR="00FD4D32" w:rsidRPr="00856C74">
        <w:rPr>
          <w:bCs/>
        </w:rPr>
      </w:r>
      <w:r w:rsidR="00FD4D32" w:rsidRPr="00856C74">
        <w:rPr>
          <w:bCs/>
        </w:rPr>
        <w:fldChar w:fldCharType="end"/>
      </w:r>
      <w:r w:rsidRPr="00856C74">
        <w:rPr>
          <w:bCs/>
        </w:rPr>
        <w:t xml:space="preserve"> и 9.17.</w:t>
      </w:r>
      <w:r w:rsidR="00FD4D32" w:rsidRPr="00856C74">
        <w:rPr>
          <w:bCs/>
        </w:rPr>
        <w:fldChar w:fldCharType="begin"/>
      </w:r>
      <w:r w:rsidRPr="00856C74">
        <w:rPr>
          <w:bCs/>
        </w:rPr>
        <w:instrText xml:space="preserve"> REF _Ref166315233 \h  \* MERGEFORMAT </w:instrText>
      </w:r>
      <w:r w:rsidR="00FD4D32" w:rsidRPr="00856C74">
        <w:rPr>
          <w:bCs/>
        </w:rPr>
      </w:r>
      <w:r w:rsidR="00FD4D32"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D4D32" w:rsidRPr="00EC7F64">
        <w:rPr>
          <w:kern w:val="0"/>
          <w:lang w:eastAsia="ru-RU"/>
        </w:rPr>
        <w:fldChar w:fldCharType="begin"/>
      </w:r>
      <w:r w:rsidRPr="00EC7F64">
        <w:rPr>
          <w:kern w:val="0"/>
          <w:lang w:eastAsia="ru-RU"/>
        </w:rPr>
        <w:instrText xml:space="preserve"> REF _Ref166314817 \h  \* MERGEFORMAT </w:instrText>
      </w:r>
      <w:r w:rsidR="00FD4D32" w:rsidRPr="00EC7F64">
        <w:rPr>
          <w:kern w:val="0"/>
          <w:lang w:eastAsia="ru-RU"/>
        </w:rPr>
      </w:r>
      <w:r w:rsidR="00FD4D32"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002098" w:rsidRDefault="00002098" w:rsidP="00002098">
                  <w:pPr>
                    <w:autoSpaceDE w:val="0"/>
                    <w:spacing w:after="0"/>
                    <w:jc w:val="center"/>
                  </w:pPr>
                  <w:r>
                    <w:t>г. Алексин, ул. Монтажная, д.4</w:t>
                  </w:r>
                </w:p>
                <w:p w:rsidR="00002098" w:rsidRDefault="00002098" w:rsidP="00002098">
                  <w:pPr>
                    <w:autoSpaceDE w:val="0"/>
                    <w:spacing w:after="0"/>
                    <w:jc w:val="center"/>
                  </w:pPr>
                  <w:r>
                    <w:t>г. Алексин, ул. Монтажная, д.5</w:t>
                  </w:r>
                </w:p>
                <w:p w:rsidR="00002098" w:rsidRDefault="00002098" w:rsidP="00002098">
                  <w:pPr>
                    <w:autoSpaceDE w:val="0"/>
                    <w:spacing w:after="0"/>
                    <w:jc w:val="center"/>
                  </w:pPr>
                  <w:r>
                    <w:t>Киреевский р-н, пос. Бородинский, ул. Пушкина, д.30</w:t>
                  </w:r>
                </w:p>
                <w:p w:rsidR="00002098" w:rsidRDefault="00002098" w:rsidP="00002098">
                  <w:pPr>
                    <w:autoSpaceDE w:val="0"/>
                    <w:spacing w:after="0"/>
                    <w:jc w:val="center"/>
                  </w:pPr>
                  <w:r>
                    <w:t>г. Тула, п. Шатск, ул. Ленина, д.14</w:t>
                  </w:r>
                </w:p>
                <w:p w:rsidR="00002098" w:rsidRDefault="00002098" w:rsidP="00002098">
                  <w:pPr>
                    <w:tabs>
                      <w:tab w:val="left" w:pos="5334"/>
                    </w:tabs>
                    <w:autoSpaceDE w:val="0"/>
                    <w:spacing w:after="0"/>
                    <w:jc w:val="center"/>
                  </w:pPr>
                  <w:r>
                    <w:t>Кимовский р-н, пгт. Новольвовск, ул. Центральная, д.6</w:t>
                  </w:r>
                </w:p>
                <w:p w:rsidR="00002098" w:rsidRDefault="00002098" w:rsidP="00002098">
                  <w:pPr>
                    <w:autoSpaceDE w:val="0"/>
                    <w:spacing w:after="0"/>
                    <w:jc w:val="center"/>
                  </w:pPr>
                  <w:r>
                    <w:t>Куркинский р-н, д. Шаховское, ул. Школьная, д.1</w:t>
                  </w:r>
                </w:p>
                <w:p w:rsidR="00002098" w:rsidRDefault="00002098" w:rsidP="00002098">
                  <w:pPr>
                    <w:autoSpaceDE w:val="0"/>
                    <w:spacing w:after="0"/>
                    <w:jc w:val="center"/>
                  </w:pPr>
                  <w:r>
                    <w:t>г. Тула, п. Шатск, ул. Садовая, д.3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002098" w:rsidP="00D551A5">
                  <w:pPr>
                    <w:pStyle w:val="29"/>
                    <w:spacing w:after="0" w:line="240" w:lineRule="auto"/>
                    <w:ind w:left="0"/>
                    <w:jc w:val="center"/>
                  </w:pPr>
                  <w:r>
                    <w:t>7</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002098" w:rsidRDefault="00002098" w:rsidP="00002098">
            <w:pPr>
              <w:autoSpaceDE w:val="0"/>
              <w:spacing w:after="0"/>
              <w:jc w:val="center"/>
            </w:pPr>
            <w:r>
              <w:t>г. Алексин, ул. Монтажная, д.4</w:t>
            </w:r>
          </w:p>
          <w:p w:rsidR="00002098" w:rsidRDefault="00002098" w:rsidP="00002098">
            <w:pPr>
              <w:autoSpaceDE w:val="0"/>
              <w:spacing w:after="0"/>
              <w:jc w:val="center"/>
            </w:pPr>
            <w:r>
              <w:t>г. Алексин, ул. Монтажная, д.5</w:t>
            </w:r>
          </w:p>
          <w:p w:rsidR="00002098" w:rsidRDefault="00002098" w:rsidP="00002098">
            <w:pPr>
              <w:autoSpaceDE w:val="0"/>
              <w:spacing w:after="0"/>
              <w:jc w:val="center"/>
            </w:pPr>
            <w:r>
              <w:t>Киреевский р-н, пос. Бородинский, ул. Пушкина, д.30</w:t>
            </w:r>
          </w:p>
          <w:p w:rsidR="00002098" w:rsidRDefault="00002098" w:rsidP="00002098">
            <w:pPr>
              <w:autoSpaceDE w:val="0"/>
              <w:spacing w:after="0"/>
              <w:jc w:val="center"/>
            </w:pPr>
            <w:r>
              <w:t>г. Тула, п. Шатск, ул. Ленина, д.14</w:t>
            </w:r>
          </w:p>
          <w:p w:rsidR="00002098" w:rsidRDefault="00002098" w:rsidP="00002098">
            <w:pPr>
              <w:tabs>
                <w:tab w:val="left" w:pos="5334"/>
              </w:tabs>
              <w:autoSpaceDE w:val="0"/>
              <w:spacing w:after="0"/>
              <w:jc w:val="center"/>
            </w:pPr>
            <w:r>
              <w:t>Кимовский р-н, пгт. Новольвовск, ул. Центральная, д.6</w:t>
            </w:r>
          </w:p>
          <w:p w:rsidR="00002098" w:rsidRDefault="00002098" w:rsidP="00002098">
            <w:pPr>
              <w:autoSpaceDE w:val="0"/>
              <w:spacing w:after="0"/>
              <w:jc w:val="center"/>
            </w:pPr>
            <w:r>
              <w:lastRenderedPageBreak/>
              <w:t>Куркинский р-н, д. Шаховское, ул. Школьная, д.1</w:t>
            </w:r>
          </w:p>
          <w:p w:rsidR="00002098" w:rsidRDefault="00002098" w:rsidP="00002098">
            <w:pPr>
              <w:autoSpaceDE w:val="0"/>
              <w:spacing w:after="0"/>
              <w:jc w:val="center"/>
            </w:pPr>
            <w:r>
              <w:t>г. Тула, п. Шатск, ул. Садовая, д.3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773B2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73B20">
              <w:rPr>
                <w:color w:val="000000"/>
              </w:rPr>
              <w:t>6 856 738,05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F350C">
              <w:t>22</w:t>
            </w:r>
            <w:r w:rsidR="00A47DA5">
              <w:t xml:space="preserve">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F350C">
              <w:t>28</w:t>
            </w:r>
            <w:r w:rsidR="00C02A3B">
              <w:t xml:space="preserve"> сентября</w:t>
            </w:r>
            <w:r w:rsidR="007B0361">
              <w:t xml:space="preserve"> 2016</w:t>
            </w:r>
            <w:r w:rsidRPr="00A76C1A">
              <w:t xml:space="preserve"> года.</w:t>
            </w:r>
          </w:p>
          <w:p w:rsidR="00F22DB3" w:rsidRPr="00A76C1A" w:rsidRDefault="00DF2348" w:rsidP="00CF350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F350C">
              <w:t>27</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1496E">
              <w:t>22</w:t>
            </w:r>
            <w:r w:rsidR="00A6247E">
              <w:t xml:space="preserve">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1496E">
              <w:t>29</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71496E">
              <w:rPr>
                <w:color w:val="000000"/>
              </w:rPr>
              <w:t>342 836,90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93A75">
            <w:pPr>
              <w:spacing w:after="0"/>
            </w:pPr>
            <w:r w:rsidRPr="00A76C1A">
              <w:t xml:space="preserve">Реестровый номер </w:t>
            </w:r>
            <w:r w:rsidRPr="00DA243E">
              <w:t xml:space="preserve">торгов – </w:t>
            </w:r>
            <w:r w:rsidR="00493A75">
              <w:t>785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CB0F56">
              <w:rPr>
                <w:lang w:eastAsia="ru-RU"/>
              </w:rPr>
              <w:t>1 028 510,71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B0F56">
              <w:rPr>
                <w:color w:val="000000"/>
              </w:rPr>
              <w:t>342 836,90</w:t>
            </w:r>
            <w:r w:rsidR="00A007D6" w:rsidRPr="00CD4CC8">
              <w:rPr>
                <w:color w:val="000000"/>
              </w:rPr>
              <w:t xml:space="preserve"> </w:t>
            </w:r>
            <w:r w:rsidRPr="00CD4CC8">
              <w:t>руб.</w:t>
            </w:r>
          </w:p>
          <w:p w:rsidR="002A3CBA" w:rsidRPr="002A3CBA" w:rsidRDefault="002A3CBA" w:rsidP="00AE7307">
            <w:pPr>
              <w:spacing w:after="0"/>
            </w:pPr>
            <w:r w:rsidRPr="00CD4CC8">
              <w:lastRenderedPageBreak/>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93A75">
              <w:t>785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516C7">
            <w:r w:rsidRPr="00A76C1A">
              <w:t xml:space="preserve">Вскрытие конвертов с заявками на участие в конкурсе состоится   </w:t>
            </w:r>
            <w:r w:rsidR="006516C7">
              <w:t>30</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516C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16C7">
              <w:t>03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605226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w:t>
            </w:r>
            <w:r>
              <w:rPr>
                <w:rFonts w:eastAsia="MS Mincho"/>
                <w:kern w:val="0"/>
                <w:lang w:eastAsia="ja-JP"/>
              </w:rPr>
              <w:lastRenderedPageBreak/>
              <w:t>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16"/>
        <w:gridCol w:w="6"/>
        <w:gridCol w:w="18"/>
        <w:gridCol w:w="4087"/>
        <w:gridCol w:w="2454"/>
        <w:gridCol w:w="2088"/>
      </w:tblGrid>
      <w:tr w:rsidR="00607947" w:rsidRPr="00426236" w:rsidTr="001D3A4B">
        <w:trPr>
          <w:trHeight w:val="300"/>
          <w:jc w:val="center"/>
        </w:trPr>
        <w:tc>
          <w:tcPr>
            <w:tcW w:w="740" w:type="dxa"/>
            <w:gridSpan w:val="3"/>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1D3A4B">
        <w:trPr>
          <w:trHeight w:val="92"/>
          <w:jc w:val="center"/>
        </w:trPr>
        <w:tc>
          <w:tcPr>
            <w:tcW w:w="740" w:type="dxa"/>
            <w:gridSpan w:val="3"/>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tcBorders>
              <w:top w:val="single" w:sz="4" w:space="0" w:color="auto"/>
              <w:left w:val="single" w:sz="4" w:space="0" w:color="auto"/>
              <w:right w:val="single" w:sz="4" w:space="0" w:color="auto"/>
            </w:tcBorders>
            <w:shd w:val="clear" w:color="000000" w:fill="FFFFFF"/>
            <w:hideMark/>
          </w:tcPr>
          <w:p w:rsidR="008D2FAA" w:rsidRDefault="008D2FAA" w:rsidP="008D2FAA">
            <w:pPr>
              <w:autoSpaceDE w:val="0"/>
              <w:spacing w:after="0"/>
              <w:jc w:val="center"/>
            </w:pPr>
            <w:r>
              <w:t>г. Алексин, ул. Монтажная, д.4</w:t>
            </w:r>
          </w:p>
          <w:p w:rsidR="001D3A4B" w:rsidRPr="000D0263"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hideMark/>
          </w:tcPr>
          <w:p w:rsidR="001D3A4B" w:rsidRPr="00426236" w:rsidRDefault="008D2FAA" w:rsidP="009B4417">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8D2FAA" w:rsidP="009B4417">
            <w:pPr>
              <w:suppressAutoHyphens w:val="0"/>
              <w:spacing w:after="0"/>
              <w:jc w:val="center"/>
              <w:rPr>
                <w:color w:val="000000"/>
                <w:kern w:val="0"/>
                <w:lang w:eastAsia="ru-RU"/>
              </w:rPr>
            </w:pPr>
            <w:r>
              <w:rPr>
                <w:color w:val="000000"/>
                <w:kern w:val="0"/>
                <w:lang w:eastAsia="ru-RU"/>
              </w:rPr>
              <w:t>235888,18</w:t>
            </w:r>
          </w:p>
        </w:tc>
      </w:tr>
      <w:tr w:rsidR="00607947" w:rsidRPr="00426236" w:rsidTr="001D3A4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8D2FAA" w:rsidP="009B4417">
            <w:pPr>
              <w:suppressAutoHyphens w:val="0"/>
              <w:spacing w:after="0"/>
              <w:jc w:val="center"/>
              <w:rPr>
                <w:b/>
                <w:bCs/>
                <w:color w:val="000000"/>
                <w:kern w:val="0"/>
                <w:lang w:eastAsia="ru-RU"/>
              </w:rPr>
            </w:pPr>
            <w:r>
              <w:rPr>
                <w:b/>
                <w:bCs/>
                <w:color w:val="000000"/>
                <w:kern w:val="0"/>
                <w:lang w:eastAsia="ru-RU"/>
              </w:rPr>
              <w:t>235888,18</w:t>
            </w:r>
          </w:p>
        </w:tc>
      </w:tr>
      <w:tr w:rsidR="001D3A4B" w:rsidRPr="00426236" w:rsidTr="001D3A4B">
        <w:trPr>
          <w:trHeight w:val="119"/>
          <w:jc w:val="center"/>
        </w:trPr>
        <w:tc>
          <w:tcPr>
            <w:tcW w:w="740" w:type="dxa"/>
            <w:gridSpan w:val="3"/>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lang w:eastAsia="ru-RU"/>
              </w:rPr>
              <w:t>2</w:t>
            </w:r>
          </w:p>
        </w:tc>
        <w:tc>
          <w:tcPr>
            <w:tcW w:w="4087" w:type="dxa"/>
            <w:vMerge w:val="restart"/>
            <w:tcBorders>
              <w:top w:val="single" w:sz="4" w:space="0" w:color="auto"/>
              <w:left w:val="single" w:sz="4" w:space="0" w:color="auto"/>
              <w:right w:val="single" w:sz="4" w:space="0" w:color="auto"/>
            </w:tcBorders>
            <w:shd w:val="clear" w:color="auto" w:fill="auto"/>
          </w:tcPr>
          <w:p w:rsidR="008D2FAA" w:rsidRDefault="008D2FAA" w:rsidP="008D2FAA">
            <w:pPr>
              <w:autoSpaceDE w:val="0"/>
              <w:spacing w:after="0"/>
              <w:jc w:val="center"/>
            </w:pPr>
            <w:r>
              <w:t>г. Алексин, ул. Монтажная, д.5</w:t>
            </w:r>
          </w:p>
          <w:p w:rsidR="001D3A4B" w:rsidRPr="000D0263" w:rsidRDefault="001D3A4B" w:rsidP="008D2FAA">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8D2FAA" w:rsidP="009D5416">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8D2FAA" w:rsidP="009B4417">
            <w:pPr>
              <w:suppressAutoHyphens w:val="0"/>
              <w:spacing w:after="0"/>
              <w:jc w:val="center"/>
              <w:rPr>
                <w:bCs/>
                <w:color w:val="000000"/>
                <w:kern w:val="0"/>
                <w:lang w:eastAsia="ru-RU"/>
              </w:rPr>
            </w:pPr>
            <w:r>
              <w:rPr>
                <w:bCs/>
                <w:color w:val="000000"/>
                <w:kern w:val="0"/>
                <w:lang w:eastAsia="ru-RU"/>
              </w:rPr>
              <w:t>157385,44</w:t>
            </w:r>
          </w:p>
        </w:tc>
      </w:tr>
      <w:tr w:rsidR="001D3A4B" w:rsidRPr="00426236" w:rsidTr="001D3A4B">
        <w:trPr>
          <w:trHeight w:val="117"/>
          <w:jc w:val="center"/>
        </w:trPr>
        <w:tc>
          <w:tcPr>
            <w:tcW w:w="740" w:type="dxa"/>
            <w:gridSpan w:val="3"/>
            <w:vMerge/>
            <w:tcBorders>
              <w:left w:val="single" w:sz="4" w:space="0" w:color="auto"/>
              <w:right w:val="single" w:sz="4" w:space="0" w:color="auto"/>
            </w:tcBorders>
            <w:shd w:val="clear" w:color="auto" w:fill="auto"/>
          </w:tcPr>
          <w:p w:rsidR="001D3A4B" w:rsidRDefault="001D3A4B"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8D2FAA" w:rsidP="009D5416">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8D2FAA" w:rsidP="009B4417">
            <w:pPr>
              <w:suppressAutoHyphens w:val="0"/>
              <w:spacing w:after="0"/>
              <w:jc w:val="center"/>
              <w:rPr>
                <w:bCs/>
                <w:color w:val="000000"/>
                <w:kern w:val="0"/>
                <w:lang w:eastAsia="ru-RU"/>
              </w:rPr>
            </w:pPr>
            <w:r>
              <w:rPr>
                <w:bCs/>
                <w:color w:val="000000"/>
                <w:kern w:val="0"/>
                <w:lang w:eastAsia="ru-RU"/>
              </w:rPr>
              <w:t>784597,89</w:t>
            </w:r>
          </w:p>
        </w:tc>
      </w:tr>
      <w:tr w:rsidR="001D3A4B" w:rsidRPr="00426236" w:rsidTr="001D3A4B">
        <w:trPr>
          <w:trHeight w:val="117"/>
          <w:jc w:val="center"/>
        </w:trPr>
        <w:tc>
          <w:tcPr>
            <w:tcW w:w="740" w:type="dxa"/>
            <w:gridSpan w:val="3"/>
            <w:vMerge/>
            <w:tcBorders>
              <w:left w:val="single" w:sz="4" w:space="0" w:color="auto"/>
              <w:right w:val="single" w:sz="4" w:space="0" w:color="auto"/>
            </w:tcBorders>
            <w:shd w:val="clear" w:color="auto" w:fill="auto"/>
          </w:tcPr>
          <w:p w:rsidR="001D3A4B" w:rsidRDefault="001D3A4B"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8D2FAA" w:rsidP="009D5416">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8D2FAA" w:rsidP="009B4417">
            <w:pPr>
              <w:suppressAutoHyphens w:val="0"/>
              <w:spacing w:after="0"/>
              <w:jc w:val="center"/>
              <w:rPr>
                <w:bCs/>
                <w:color w:val="000000"/>
                <w:kern w:val="0"/>
                <w:lang w:eastAsia="ru-RU"/>
              </w:rPr>
            </w:pPr>
            <w:r>
              <w:rPr>
                <w:bCs/>
                <w:color w:val="000000"/>
                <w:kern w:val="0"/>
                <w:lang w:eastAsia="ru-RU"/>
              </w:rPr>
              <w:t>116471,02</w:t>
            </w:r>
          </w:p>
        </w:tc>
      </w:tr>
      <w:tr w:rsidR="00607947" w:rsidRPr="00426236" w:rsidTr="001D3A4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8D2FAA" w:rsidP="009B4417">
            <w:pPr>
              <w:suppressAutoHyphens w:val="0"/>
              <w:spacing w:after="0"/>
              <w:jc w:val="center"/>
              <w:rPr>
                <w:b/>
                <w:bCs/>
                <w:color w:val="000000"/>
                <w:kern w:val="0"/>
                <w:lang w:eastAsia="ru-RU"/>
              </w:rPr>
            </w:pPr>
            <w:r>
              <w:rPr>
                <w:b/>
                <w:bCs/>
                <w:color w:val="000000"/>
                <w:kern w:val="0"/>
                <w:lang w:eastAsia="ru-RU"/>
              </w:rPr>
              <w:t>1058454,35</w:t>
            </w:r>
          </w:p>
        </w:tc>
      </w:tr>
      <w:tr w:rsidR="001D3A4B" w:rsidRPr="00426236" w:rsidTr="001D3A4B">
        <w:trPr>
          <w:trHeight w:val="83"/>
          <w:jc w:val="center"/>
        </w:trPr>
        <w:tc>
          <w:tcPr>
            <w:tcW w:w="722" w:type="dxa"/>
            <w:gridSpan w:val="2"/>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tabs>
                <w:tab w:val="left" w:pos="2329"/>
              </w:tabs>
              <w:suppressAutoHyphens w:val="0"/>
              <w:spacing w:after="0"/>
              <w:jc w:val="center"/>
              <w:rPr>
                <w:bCs/>
                <w:color w:val="000000"/>
                <w:kern w:val="0"/>
                <w:lang w:eastAsia="ru-RU"/>
              </w:rPr>
            </w:pPr>
            <w:r>
              <w:rPr>
                <w:bCs/>
                <w:color w:val="000000"/>
                <w:lang w:eastAsia="ru-RU"/>
              </w:rPr>
              <w:t>3</w:t>
            </w:r>
          </w:p>
        </w:tc>
        <w:tc>
          <w:tcPr>
            <w:tcW w:w="4105" w:type="dxa"/>
            <w:gridSpan w:val="2"/>
            <w:vMerge w:val="restart"/>
            <w:tcBorders>
              <w:top w:val="single" w:sz="4" w:space="0" w:color="auto"/>
              <w:left w:val="single" w:sz="4" w:space="0" w:color="auto"/>
              <w:right w:val="single" w:sz="4" w:space="0" w:color="auto"/>
            </w:tcBorders>
            <w:shd w:val="clear" w:color="auto" w:fill="auto"/>
          </w:tcPr>
          <w:p w:rsidR="001D3A4B" w:rsidRPr="000D0263" w:rsidRDefault="008D2FAA" w:rsidP="008D2FAA">
            <w:pPr>
              <w:autoSpaceDE w:val="0"/>
              <w:spacing w:after="0"/>
              <w:jc w:val="center"/>
            </w:pPr>
            <w:r>
              <w:t>Киреевский р-н, пос. Бородинский, ул. Пушкина, д.30</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8D2FAA"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8D2FAA" w:rsidP="009B4417">
            <w:pPr>
              <w:suppressAutoHyphens w:val="0"/>
              <w:spacing w:after="0"/>
              <w:jc w:val="center"/>
              <w:rPr>
                <w:bCs/>
                <w:color w:val="000000"/>
                <w:kern w:val="0"/>
                <w:lang w:eastAsia="ru-RU"/>
              </w:rPr>
            </w:pPr>
            <w:r>
              <w:rPr>
                <w:bCs/>
                <w:color w:val="000000"/>
                <w:kern w:val="0"/>
                <w:lang w:eastAsia="ru-RU"/>
              </w:rPr>
              <w:t>543621,28</w:t>
            </w:r>
          </w:p>
        </w:tc>
      </w:tr>
      <w:tr w:rsidR="001D3A4B" w:rsidRPr="00426236" w:rsidTr="001D3A4B">
        <w:trPr>
          <w:trHeight w:val="81"/>
          <w:jc w:val="center"/>
        </w:trPr>
        <w:tc>
          <w:tcPr>
            <w:tcW w:w="722" w:type="dxa"/>
            <w:gridSpan w:val="2"/>
            <w:vMerge/>
            <w:tcBorders>
              <w:left w:val="single" w:sz="4" w:space="0" w:color="auto"/>
              <w:right w:val="single" w:sz="4" w:space="0" w:color="auto"/>
            </w:tcBorders>
            <w:shd w:val="clear" w:color="auto" w:fill="auto"/>
          </w:tcPr>
          <w:p w:rsidR="001D3A4B" w:rsidRDefault="001D3A4B" w:rsidP="009B4417">
            <w:pPr>
              <w:tabs>
                <w:tab w:val="left" w:pos="2329"/>
              </w:tabs>
              <w:suppressAutoHyphens w:val="0"/>
              <w:spacing w:after="0"/>
              <w:jc w:val="center"/>
              <w:rPr>
                <w:bCs/>
                <w:color w:val="000000"/>
                <w:lang w:eastAsia="ru-RU"/>
              </w:rPr>
            </w:pPr>
          </w:p>
        </w:tc>
        <w:tc>
          <w:tcPr>
            <w:tcW w:w="4105" w:type="dxa"/>
            <w:gridSpan w:val="2"/>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8D2FAA"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8D2FAA" w:rsidP="009B4417">
            <w:pPr>
              <w:suppressAutoHyphens w:val="0"/>
              <w:spacing w:after="0"/>
              <w:jc w:val="center"/>
              <w:rPr>
                <w:bCs/>
                <w:color w:val="000000"/>
                <w:kern w:val="0"/>
                <w:lang w:eastAsia="ru-RU"/>
              </w:rPr>
            </w:pPr>
            <w:r>
              <w:rPr>
                <w:bCs/>
                <w:color w:val="000000"/>
                <w:kern w:val="0"/>
                <w:lang w:eastAsia="ru-RU"/>
              </w:rPr>
              <w:t>1287706,86</w:t>
            </w:r>
          </w:p>
        </w:tc>
      </w:tr>
      <w:tr w:rsidR="00607947"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8D2FAA" w:rsidP="009B4417">
            <w:pPr>
              <w:suppressAutoHyphens w:val="0"/>
              <w:spacing w:after="0"/>
              <w:jc w:val="center"/>
              <w:rPr>
                <w:b/>
                <w:bCs/>
                <w:color w:val="000000"/>
                <w:kern w:val="0"/>
                <w:lang w:eastAsia="ru-RU"/>
              </w:rPr>
            </w:pPr>
            <w:r>
              <w:rPr>
                <w:b/>
                <w:bCs/>
                <w:color w:val="000000"/>
                <w:kern w:val="0"/>
                <w:lang w:eastAsia="ru-RU"/>
              </w:rPr>
              <w:t>1831328,14</w:t>
            </w:r>
          </w:p>
        </w:tc>
      </w:tr>
      <w:tr w:rsidR="008D2FAA" w:rsidRPr="00426236" w:rsidTr="008D2FA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4</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8D2FAA">
            <w:pPr>
              <w:autoSpaceDE w:val="0"/>
              <w:spacing w:after="0"/>
              <w:jc w:val="center"/>
            </w:pPr>
            <w:r>
              <w:t>г. Тула, п. Шатск, ул. Ленина, д.14</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651210,14</w:t>
            </w:r>
          </w:p>
        </w:tc>
      </w:tr>
      <w:tr w:rsidR="008D2FAA"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8D2FAA" w:rsidRPr="00426236" w:rsidRDefault="008D2FA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8D2FAA" w:rsidRDefault="008D2FAA" w:rsidP="009B4417">
            <w:pPr>
              <w:suppressAutoHyphens w:val="0"/>
              <w:spacing w:after="0"/>
              <w:jc w:val="center"/>
              <w:rPr>
                <w:b/>
                <w:bCs/>
                <w:color w:val="000000"/>
                <w:kern w:val="0"/>
                <w:lang w:eastAsia="ru-RU"/>
              </w:rPr>
            </w:pPr>
            <w:r>
              <w:rPr>
                <w:b/>
                <w:bCs/>
                <w:color w:val="000000"/>
                <w:kern w:val="0"/>
                <w:lang w:eastAsia="ru-RU"/>
              </w:rPr>
              <w:t>651210,14</w:t>
            </w:r>
          </w:p>
        </w:tc>
      </w:tr>
      <w:tr w:rsidR="008D2FAA" w:rsidRPr="00426236" w:rsidTr="008D2FA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5</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8D2FAA">
            <w:pPr>
              <w:tabs>
                <w:tab w:val="left" w:pos="5334"/>
              </w:tabs>
              <w:autoSpaceDE w:val="0"/>
              <w:spacing w:after="0"/>
              <w:jc w:val="center"/>
            </w:pPr>
            <w:r>
              <w:t>Кимовский р-н, пгт. Новольвовск, ул. Центральная, д.6</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1277824,36</w:t>
            </w:r>
          </w:p>
        </w:tc>
      </w:tr>
      <w:tr w:rsidR="008D2FAA"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8D2FAA" w:rsidRPr="00426236" w:rsidRDefault="008D2FA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8D2FAA" w:rsidRDefault="008D2FAA" w:rsidP="009B4417">
            <w:pPr>
              <w:suppressAutoHyphens w:val="0"/>
              <w:spacing w:after="0"/>
              <w:jc w:val="center"/>
              <w:rPr>
                <w:b/>
                <w:bCs/>
                <w:color w:val="000000"/>
                <w:kern w:val="0"/>
                <w:lang w:eastAsia="ru-RU"/>
              </w:rPr>
            </w:pPr>
            <w:r>
              <w:rPr>
                <w:b/>
                <w:bCs/>
                <w:color w:val="000000"/>
                <w:kern w:val="0"/>
                <w:lang w:eastAsia="ru-RU"/>
              </w:rPr>
              <w:t>1277824,36</w:t>
            </w:r>
          </w:p>
        </w:tc>
      </w:tr>
      <w:tr w:rsidR="008D2FAA" w:rsidRPr="00426236" w:rsidTr="008D2FA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6</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8D2FAA">
            <w:pPr>
              <w:autoSpaceDE w:val="0"/>
              <w:spacing w:after="0"/>
              <w:jc w:val="center"/>
            </w:pPr>
            <w:r>
              <w:t>Куркинский р-н, д. Шаховское, ул. Школьная, д.1</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1073119,74</w:t>
            </w:r>
          </w:p>
        </w:tc>
      </w:tr>
      <w:tr w:rsidR="008D2FAA"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8D2FAA" w:rsidRPr="00426236" w:rsidRDefault="008D2FA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8D2FAA" w:rsidRDefault="008D2FAA" w:rsidP="009B4417">
            <w:pPr>
              <w:suppressAutoHyphens w:val="0"/>
              <w:spacing w:after="0"/>
              <w:jc w:val="center"/>
              <w:rPr>
                <w:b/>
                <w:bCs/>
                <w:color w:val="000000"/>
                <w:kern w:val="0"/>
                <w:lang w:eastAsia="ru-RU"/>
              </w:rPr>
            </w:pPr>
            <w:r>
              <w:rPr>
                <w:b/>
                <w:bCs/>
                <w:color w:val="000000"/>
                <w:kern w:val="0"/>
                <w:lang w:eastAsia="ru-RU"/>
              </w:rPr>
              <w:t>1073119,74</w:t>
            </w:r>
          </w:p>
        </w:tc>
      </w:tr>
      <w:tr w:rsidR="008D2FAA" w:rsidRPr="00426236" w:rsidTr="008D2FA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7</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8D2FAA">
            <w:pPr>
              <w:autoSpaceDE w:val="0"/>
              <w:spacing w:after="0"/>
              <w:jc w:val="center"/>
            </w:pPr>
            <w:r>
              <w:t>г. Тула, п. Шатск, ул. Садовая, д.3</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8D2FAA" w:rsidRPr="008D2FAA" w:rsidRDefault="008D2FAA" w:rsidP="009B4417">
            <w:pPr>
              <w:suppressAutoHyphens w:val="0"/>
              <w:spacing w:after="0"/>
              <w:jc w:val="center"/>
              <w:rPr>
                <w:bCs/>
                <w:color w:val="000000"/>
                <w:kern w:val="0"/>
                <w:lang w:eastAsia="ru-RU"/>
              </w:rPr>
            </w:pPr>
            <w:r>
              <w:rPr>
                <w:bCs/>
                <w:color w:val="000000"/>
                <w:kern w:val="0"/>
                <w:lang w:eastAsia="ru-RU"/>
              </w:rPr>
              <w:t>728913,14</w:t>
            </w:r>
          </w:p>
        </w:tc>
      </w:tr>
      <w:tr w:rsidR="008D2FAA" w:rsidRPr="00426236" w:rsidTr="0019170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8D2FAA" w:rsidRPr="00426236" w:rsidRDefault="008D2FA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8D2FAA" w:rsidRDefault="008D2FAA" w:rsidP="009B4417">
            <w:pPr>
              <w:suppressAutoHyphens w:val="0"/>
              <w:spacing w:after="0"/>
              <w:jc w:val="center"/>
              <w:rPr>
                <w:b/>
                <w:bCs/>
                <w:color w:val="000000"/>
                <w:kern w:val="0"/>
                <w:lang w:eastAsia="ru-RU"/>
              </w:rPr>
            </w:pPr>
            <w:r>
              <w:rPr>
                <w:b/>
                <w:bCs/>
                <w:color w:val="000000"/>
                <w:kern w:val="0"/>
                <w:lang w:eastAsia="ru-RU"/>
              </w:rPr>
              <w:t>728913,14</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8D2FAA" w:rsidP="009B4417">
            <w:pPr>
              <w:jc w:val="center"/>
              <w:rPr>
                <w:b/>
                <w:bCs/>
                <w:color w:val="000000"/>
              </w:rPr>
            </w:pPr>
            <w:r>
              <w:rPr>
                <w:b/>
                <w:bCs/>
                <w:color w:val="000000"/>
              </w:rPr>
              <w:t>6 856 738,05</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C515D">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061AD7" w:rsidRDefault="00061AD7" w:rsidP="00061AD7">
      <w:pPr>
        <w:autoSpaceDE w:val="0"/>
        <w:spacing w:after="0"/>
        <w:jc w:val="center"/>
      </w:pPr>
      <w:r>
        <w:t>г. Алексин, ул. Монтажная, д.4</w:t>
      </w:r>
    </w:p>
    <w:p w:rsidR="00061AD7" w:rsidRDefault="00061AD7" w:rsidP="00061AD7">
      <w:pPr>
        <w:autoSpaceDE w:val="0"/>
        <w:spacing w:after="0"/>
        <w:jc w:val="center"/>
      </w:pPr>
      <w:r>
        <w:t>г. Алексин, ул. Монтажная, д.5</w:t>
      </w:r>
    </w:p>
    <w:p w:rsidR="00061AD7" w:rsidRDefault="00061AD7" w:rsidP="00061AD7">
      <w:pPr>
        <w:autoSpaceDE w:val="0"/>
        <w:spacing w:after="0"/>
        <w:jc w:val="center"/>
      </w:pPr>
      <w:r>
        <w:t>Киреевский р-н, пос. Бородинский, ул. Пушкина, д.30</w:t>
      </w:r>
    </w:p>
    <w:p w:rsidR="00061AD7" w:rsidRDefault="00061AD7" w:rsidP="00061AD7">
      <w:pPr>
        <w:autoSpaceDE w:val="0"/>
        <w:spacing w:after="0"/>
        <w:jc w:val="center"/>
      </w:pPr>
      <w:r>
        <w:t>г. Тула, п. Шатск, ул. Ленина, д.14</w:t>
      </w:r>
    </w:p>
    <w:p w:rsidR="00061AD7" w:rsidRDefault="00061AD7" w:rsidP="00061AD7">
      <w:pPr>
        <w:tabs>
          <w:tab w:val="left" w:pos="5334"/>
        </w:tabs>
        <w:autoSpaceDE w:val="0"/>
        <w:spacing w:after="0"/>
        <w:jc w:val="center"/>
      </w:pPr>
      <w:r>
        <w:t>Кимовский р-н, пгт. Новольвовск, ул. Центральная, д.6</w:t>
      </w:r>
    </w:p>
    <w:p w:rsidR="00061AD7" w:rsidRDefault="00061AD7" w:rsidP="00061AD7">
      <w:pPr>
        <w:autoSpaceDE w:val="0"/>
        <w:spacing w:after="0"/>
        <w:jc w:val="center"/>
      </w:pPr>
      <w:r>
        <w:t>Куркинский р-н, д. Шаховское, ул. Школьная, д.1</w:t>
      </w:r>
    </w:p>
    <w:p w:rsidR="00061AD7" w:rsidRDefault="00061AD7" w:rsidP="00061AD7">
      <w:pPr>
        <w:autoSpaceDE w:val="0"/>
        <w:spacing w:after="0"/>
        <w:jc w:val="center"/>
      </w:pPr>
      <w:r>
        <w:t>г. Тула, п. Шатск, ул. Садовая, д.3</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61AD7" w:rsidP="00FD59AF">
      <w:pPr>
        <w:ind w:firstLine="709"/>
        <w:jc w:val="center"/>
        <w:rPr>
          <w:color w:val="000000"/>
        </w:rPr>
      </w:pPr>
      <w:bookmarkStart w:id="133" w:name="_GoBack"/>
      <w:bookmarkEnd w:id="133"/>
      <w:r>
        <w:rPr>
          <w:color w:val="000000"/>
        </w:rPr>
        <w:t>6 856 738,05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AD" w:rsidRDefault="00C302AD">
      <w:pPr>
        <w:spacing w:after="0"/>
      </w:pPr>
      <w:r>
        <w:separator/>
      </w:r>
    </w:p>
  </w:endnote>
  <w:endnote w:type="continuationSeparator" w:id="0">
    <w:p w:rsidR="00C302AD" w:rsidRDefault="00C30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AD" w:rsidRDefault="00C302AD">
      <w:pPr>
        <w:spacing w:after="0"/>
      </w:pPr>
      <w:r>
        <w:separator/>
      </w:r>
    </w:p>
  </w:footnote>
  <w:footnote w:type="continuationSeparator" w:id="0">
    <w:p w:rsidR="00C302AD" w:rsidRDefault="00C302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FD4D32" w:rsidP="001C026D">
    <w:pPr>
      <w:jc w:val="center"/>
    </w:pPr>
    <w:r>
      <w:fldChar w:fldCharType="begin"/>
    </w:r>
    <w:r w:rsidR="00384DEF">
      <w:instrText>PAGE   \* MERGEFORMAT</w:instrText>
    </w:r>
    <w:r>
      <w:fldChar w:fldCharType="separate"/>
    </w:r>
    <w:r w:rsidR="00640F72">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098"/>
    <w:rsid w:val="00015E39"/>
    <w:rsid w:val="00016503"/>
    <w:rsid w:val="00017643"/>
    <w:rsid w:val="00021991"/>
    <w:rsid w:val="000251D2"/>
    <w:rsid w:val="00026CBA"/>
    <w:rsid w:val="00032991"/>
    <w:rsid w:val="00034483"/>
    <w:rsid w:val="00036236"/>
    <w:rsid w:val="000362B3"/>
    <w:rsid w:val="000410C5"/>
    <w:rsid w:val="00041A56"/>
    <w:rsid w:val="00060142"/>
    <w:rsid w:val="00060363"/>
    <w:rsid w:val="00061AD7"/>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6C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3A75"/>
    <w:rsid w:val="00497010"/>
    <w:rsid w:val="004B1D6C"/>
    <w:rsid w:val="004B7C60"/>
    <w:rsid w:val="004C018F"/>
    <w:rsid w:val="004C0FF7"/>
    <w:rsid w:val="004C1F5F"/>
    <w:rsid w:val="004C21D7"/>
    <w:rsid w:val="004C2E56"/>
    <w:rsid w:val="004C4207"/>
    <w:rsid w:val="004C4FAC"/>
    <w:rsid w:val="004C5E0C"/>
    <w:rsid w:val="004C7742"/>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0F72"/>
    <w:rsid w:val="00641A86"/>
    <w:rsid w:val="00647A20"/>
    <w:rsid w:val="006516C7"/>
    <w:rsid w:val="00653AFD"/>
    <w:rsid w:val="006600EA"/>
    <w:rsid w:val="0066138E"/>
    <w:rsid w:val="00661A9E"/>
    <w:rsid w:val="00676DC6"/>
    <w:rsid w:val="00682EE5"/>
    <w:rsid w:val="00687540"/>
    <w:rsid w:val="00690D92"/>
    <w:rsid w:val="0069326C"/>
    <w:rsid w:val="006938B9"/>
    <w:rsid w:val="0069517E"/>
    <w:rsid w:val="006A07E1"/>
    <w:rsid w:val="006A0FA8"/>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496E"/>
    <w:rsid w:val="00715B8D"/>
    <w:rsid w:val="007161E8"/>
    <w:rsid w:val="00723457"/>
    <w:rsid w:val="0072522D"/>
    <w:rsid w:val="00726B97"/>
    <w:rsid w:val="00730622"/>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3B20"/>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14F0"/>
    <w:rsid w:val="008B2711"/>
    <w:rsid w:val="008B527A"/>
    <w:rsid w:val="008C17B7"/>
    <w:rsid w:val="008C5EAE"/>
    <w:rsid w:val="008C602F"/>
    <w:rsid w:val="008D2FAA"/>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02AD"/>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0F56"/>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350C"/>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A5378"/>
    <w:rsid w:val="00DB1F94"/>
    <w:rsid w:val="00DB25F3"/>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4D32"/>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B531A-8939-4066-8416-E7B5C6E0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20606</Words>
  <Characters>117456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183</cp:revision>
  <cp:lastPrinted>2016-09-22T09:20:00Z</cp:lastPrinted>
  <dcterms:created xsi:type="dcterms:W3CDTF">2015-09-24T11:35:00Z</dcterms:created>
  <dcterms:modified xsi:type="dcterms:W3CDTF">2016-09-22T09:24:00Z</dcterms:modified>
</cp:coreProperties>
</file>