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6102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100</w:t>
            </w:r>
            <w:r w:rsidR="00561027">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bookmarkStart w:id="0" w:name="_GoBack"/>
      <w:bookmarkEnd w:id="0"/>
    </w:p>
    <w:p w:rsidR="009F2F79" w:rsidRDefault="009F2F79" w:rsidP="00902C80">
      <w:pPr>
        <w:spacing w:after="0"/>
        <w:jc w:val="center"/>
      </w:pPr>
      <w:r w:rsidRPr="006034F2">
        <w:t xml:space="preserve">о проведении открытого конкурса на право заключения договора на </w:t>
      </w:r>
      <w:r w:rsidR="00561027">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C7F91" w:rsidRDefault="00561027" w:rsidP="00091AE8">
      <w:pPr>
        <w:autoSpaceDE w:val="0"/>
        <w:spacing w:after="0"/>
        <w:jc w:val="center"/>
      </w:pPr>
      <w:r>
        <w:t xml:space="preserve">г. Донской, </w:t>
      </w:r>
      <w:proofErr w:type="spellStart"/>
      <w:r>
        <w:t>мкр</w:t>
      </w:r>
      <w:proofErr w:type="spellEnd"/>
      <w:r>
        <w:t>. Северо-Задонск, ул. Ленина, д. 18</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1027" w:rsidRDefault="00561027" w:rsidP="00561027">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561027" w:rsidRDefault="00561027" w:rsidP="00561027">
                  <w:pPr>
                    <w:spacing w:after="0"/>
                    <w:jc w:val="center"/>
                  </w:pPr>
                </w:p>
                <w:p w:rsidR="00574150" w:rsidRDefault="00561027" w:rsidP="00561027">
                  <w:pPr>
                    <w:autoSpaceDE w:val="0"/>
                    <w:spacing w:after="0"/>
                    <w:jc w:val="center"/>
                  </w:pPr>
                  <w:r>
                    <w:t xml:space="preserve">г. Донской, </w:t>
                  </w:r>
                  <w:proofErr w:type="spellStart"/>
                  <w:r>
                    <w:t>мкр</w:t>
                  </w:r>
                  <w:proofErr w:type="spellEnd"/>
                  <w:r>
                    <w:t>. Северо-Задонск, ул. Ленина, д. 18</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561027" w:rsidP="00561027">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61027" w:rsidRDefault="00561027" w:rsidP="00561027">
            <w:pPr>
              <w:spacing w:after="0"/>
              <w:jc w:val="center"/>
              <w:rPr>
                <w:kern w:val="0"/>
                <w:lang w:eastAsia="en-US"/>
              </w:rPr>
            </w:pPr>
            <w:r>
              <w:t>Многоквартирный жилой дом, расположенный по адресу:</w:t>
            </w:r>
          </w:p>
          <w:p w:rsidR="00561027" w:rsidRDefault="00561027" w:rsidP="00561027">
            <w:pPr>
              <w:spacing w:after="0"/>
              <w:jc w:val="center"/>
            </w:pPr>
          </w:p>
          <w:p w:rsidR="005C2B78" w:rsidRDefault="00561027" w:rsidP="00561027">
            <w:pPr>
              <w:autoSpaceDE w:val="0"/>
              <w:spacing w:after="0"/>
              <w:jc w:val="center"/>
            </w:pPr>
            <w:r>
              <w:t xml:space="preserve">г. Донской, </w:t>
            </w:r>
            <w:proofErr w:type="spellStart"/>
            <w:r>
              <w:t>мкр</w:t>
            </w:r>
            <w:proofErr w:type="spellEnd"/>
            <w:r>
              <w:t>. Северо-Задонск, ул. Ленина, д. 18</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561027">
              <w:rPr>
                <w:color w:val="000000"/>
              </w:rPr>
              <w:t>108 125,08</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902498" w:rsidRDefault="004F52DD" w:rsidP="00561027">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561027" w:rsidRDefault="00561027" w:rsidP="00561027">
                  <w:pPr>
                    <w:spacing w:after="0"/>
                    <w:rPr>
                      <w:rFonts w:eastAsia="Calibri"/>
                    </w:rPr>
                  </w:pPr>
                </w:p>
                <w:p w:rsidR="00561027" w:rsidRDefault="00561027" w:rsidP="00561027">
                  <w:pPr>
                    <w:spacing w:after="0"/>
                    <w:rPr>
                      <w:rFonts w:eastAsia="Calibri"/>
                    </w:rPr>
                  </w:pPr>
                </w:p>
                <w:p w:rsidR="00561027" w:rsidRDefault="00561027" w:rsidP="00561027">
                  <w:pPr>
                    <w:spacing w:after="0"/>
                    <w:rPr>
                      <w:rFonts w:eastAsia="Calibri"/>
                    </w:rPr>
                  </w:pPr>
                </w:p>
                <w:p w:rsidR="00561027" w:rsidRPr="000E0D9A" w:rsidRDefault="00561027" w:rsidP="00561027">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516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29"/>
        <w:gridCol w:w="4524"/>
        <w:gridCol w:w="1848"/>
        <w:gridCol w:w="2043"/>
      </w:tblGrid>
      <w:tr w:rsidR="00561027" w:rsidRPr="00561027" w:rsidTr="00561027">
        <w:trPr>
          <w:trHeight w:val="397"/>
        </w:trPr>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027" w:rsidRPr="00561027" w:rsidRDefault="00561027" w:rsidP="00561027">
            <w:pPr>
              <w:suppressAutoHyphens w:val="0"/>
              <w:spacing w:after="0"/>
              <w:jc w:val="center"/>
              <w:rPr>
                <w:b/>
                <w:bCs/>
                <w:color w:val="000000"/>
                <w:kern w:val="0"/>
                <w:lang w:eastAsia="ru-RU"/>
              </w:rPr>
            </w:pPr>
            <w:r w:rsidRPr="00561027">
              <w:rPr>
                <w:b/>
                <w:bCs/>
                <w:color w:val="000000"/>
                <w:kern w:val="0"/>
                <w:lang w:eastAsia="ru-RU"/>
              </w:rPr>
              <w:t>№ п/п</w:t>
            </w:r>
          </w:p>
        </w:tc>
        <w:tc>
          <w:tcPr>
            <w:tcW w:w="2421" w:type="pct"/>
            <w:tcBorders>
              <w:top w:val="single" w:sz="4" w:space="0" w:color="auto"/>
              <w:left w:val="nil"/>
              <w:bottom w:val="single" w:sz="4" w:space="0" w:color="auto"/>
              <w:right w:val="single" w:sz="4" w:space="0" w:color="auto"/>
            </w:tcBorders>
            <w:shd w:val="clear" w:color="auto" w:fill="auto"/>
            <w:noWrap/>
            <w:vAlign w:val="center"/>
            <w:hideMark/>
          </w:tcPr>
          <w:p w:rsidR="00561027" w:rsidRPr="00561027" w:rsidRDefault="00561027" w:rsidP="00561027">
            <w:pPr>
              <w:suppressAutoHyphens w:val="0"/>
              <w:spacing w:after="0"/>
              <w:jc w:val="center"/>
              <w:rPr>
                <w:b/>
                <w:bCs/>
                <w:color w:val="000000"/>
                <w:kern w:val="0"/>
                <w:lang w:eastAsia="ru-RU"/>
              </w:rPr>
            </w:pPr>
            <w:r w:rsidRPr="00561027">
              <w:rPr>
                <w:b/>
                <w:bCs/>
                <w:color w:val="000000"/>
                <w:kern w:val="0"/>
                <w:lang w:eastAsia="ru-RU"/>
              </w:rPr>
              <w:t>Адрес МКД</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561027" w:rsidRPr="00561027" w:rsidRDefault="00561027" w:rsidP="00561027">
            <w:pPr>
              <w:suppressAutoHyphens w:val="0"/>
              <w:spacing w:after="0"/>
              <w:jc w:val="center"/>
              <w:rPr>
                <w:b/>
                <w:bCs/>
                <w:color w:val="000000"/>
                <w:kern w:val="0"/>
                <w:lang w:eastAsia="ru-RU"/>
              </w:rPr>
            </w:pPr>
            <w:r w:rsidRPr="00561027">
              <w:rPr>
                <w:b/>
                <w:bCs/>
                <w:color w:val="000000"/>
                <w:kern w:val="0"/>
                <w:lang w:eastAsia="ru-RU"/>
              </w:rPr>
              <w:t>Виды работ</w:t>
            </w:r>
          </w:p>
        </w:tc>
        <w:tc>
          <w:tcPr>
            <w:tcW w:w="1093" w:type="pct"/>
            <w:tcBorders>
              <w:top w:val="single" w:sz="4" w:space="0" w:color="auto"/>
              <w:left w:val="nil"/>
              <w:bottom w:val="single" w:sz="4" w:space="0" w:color="auto"/>
              <w:right w:val="single" w:sz="4" w:space="0" w:color="auto"/>
            </w:tcBorders>
            <w:shd w:val="clear" w:color="auto" w:fill="auto"/>
            <w:noWrap/>
            <w:vAlign w:val="center"/>
            <w:hideMark/>
          </w:tcPr>
          <w:p w:rsidR="00561027" w:rsidRPr="00561027" w:rsidRDefault="00561027" w:rsidP="00561027">
            <w:pPr>
              <w:suppressAutoHyphens w:val="0"/>
              <w:spacing w:after="0"/>
              <w:jc w:val="center"/>
              <w:rPr>
                <w:b/>
                <w:bCs/>
                <w:color w:val="000000"/>
                <w:kern w:val="0"/>
                <w:lang w:eastAsia="ru-RU"/>
              </w:rPr>
            </w:pPr>
            <w:r w:rsidRPr="00561027">
              <w:rPr>
                <w:b/>
                <w:bCs/>
                <w:color w:val="000000"/>
                <w:kern w:val="0"/>
                <w:lang w:eastAsia="ru-RU"/>
              </w:rPr>
              <w:t>Стоимость руб.</w:t>
            </w:r>
          </w:p>
        </w:tc>
      </w:tr>
      <w:tr w:rsidR="00561027" w:rsidRPr="00561027" w:rsidTr="00561027">
        <w:trPr>
          <w:trHeight w:val="397"/>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61027" w:rsidRPr="00561027" w:rsidRDefault="00561027" w:rsidP="00561027">
            <w:pPr>
              <w:suppressAutoHyphens w:val="0"/>
              <w:spacing w:after="0"/>
              <w:jc w:val="center"/>
              <w:rPr>
                <w:color w:val="000000"/>
                <w:kern w:val="0"/>
                <w:lang w:eastAsia="ru-RU"/>
              </w:rPr>
            </w:pPr>
            <w:r w:rsidRPr="00561027">
              <w:rPr>
                <w:color w:val="000000"/>
                <w:kern w:val="0"/>
                <w:lang w:eastAsia="ru-RU"/>
              </w:rPr>
              <w:t>1</w:t>
            </w:r>
          </w:p>
        </w:tc>
        <w:tc>
          <w:tcPr>
            <w:tcW w:w="2421" w:type="pct"/>
            <w:tcBorders>
              <w:top w:val="nil"/>
              <w:left w:val="nil"/>
              <w:bottom w:val="nil"/>
              <w:right w:val="nil"/>
            </w:tcBorders>
            <w:shd w:val="clear" w:color="auto" w:fill="auto"/>
            <w:noWrap/>
            <w:vAlign w:val="center"/>
            <w:hideMark/>
          </w:tcPr>
          <w:p w:rsidR="00561027" w:rsidRPr="00561027" w:rsidRDefault="00561027" w:rsidP="00561027">
            <w:pPr>
              <w:suppressAutoHyphens w:val="0"/>
              <w:spacing w:after="0"/>
              <w:jc w:val="center"/>
              <w:rPr>
                <w:color w:val="000000"/>
                <w:kern w:val="0"/>
                <w:lang w:eastAsia="ru-RU"/>
              </w:rPr>
            </w:pPr>
            <w:proofErr w:type="spellStart"/>
            <w:r w:rsidRPr="00561027">
              <w:rPr>
                <w:color w:val="000000"/>
                <w:kern w:val="0"/>
                <w:lang w:eastAsia="ru-RU"/>
              </w:rPr>
              <w:t>мкр</w:t>
            </w:r>
            <w:proofErr w:type="spellEnd"/>
            <w:r w:rsidRPr="00561027">
              <w:rPr>
                <w:color w:val="000000"/>
                <w:kern w:val="0"/>
                <w:lang w:eastAsia="ru-RU"/>
              </w:rPr>
              <w:t>. Северо-Задонск, ул. Ленина, д. 18</w:t>
            </w:r>
          </w:p>
        </w:tc>
        <w:tc>
          <w:tcPr>
            <w:tcW w:w="988" w:type="pct"/>
            <w:tcBorders>
              <w:top w:val="nil"/>
              <w:left w:val="single" w:sz="4" w:space="0" w:color="auto"/>
              <w:bottom w:val="single" w:sz="4" w:space="0" w:color="auto"/>
              <w:right w:val="single" w:sz="4" w:space="0" w:color="auto"/>
            </w:tcBorders>
            <w:shd w:val="clear" w:color="auto" w:fill="auto"/>
            <w:vAlign w:val="center"/>
            <w:hideMark/>
          </w:tcPr>
          <w:p w:rsidR="00561027" w:rsidRPr="00561027" w:rsidRDefault="00561027" w:rsidP="00561027">
            <w:pPr>
              <w:suppressAutoHyphens w:val="0"/>
              <w:spacing w:after="0"/>
              <w:jc w:val="center"/>
              <w:rPr>
                <w:color w:val="000000"/>
                <w:kern w:val="0"/>
                <w:lang w:eastAsia="ru-RU"/>
              </w:rPr>
            </w:pPr>
            <w:r w:rsidRPr="00561027">
              <w:rPr>
                <w:color w:val="000000"/>
                <w:kern w:val="0"/>
                <w:lang w:eastAsia="ru-RU"/>
              </w:rPr>
              <w:t>ремонт фасада</w:t>
            </w:r>
          </w:p>
        </w:tc>
        <w:tc>
          <w:tcPr>
            <w:tcW w:w="1093" w:type="pct"/>
            <w:tcBorders>
              <w:top w:val="nil"/>
              <w:left w:val="nil"/>
              <w:bottom w:val="single" w:sz="4" w:space="0" w:color="auto"/>
              <w:right w:val="single" w:sz="4" w:space="0" w:color="auto"/>
            </w:tcBorders>
            <w:shd w:val="clear" w:color="auto" w:fill="auto"/>
            <w:vAlign w:val="center"/>
            <w:hideMark/>
          </w:tcPr>
          <w:p w:rsidR="00561027" w:rsidRPr="00561027" w:rsidRDefault="00561027" w:rsidP="00561027">
            <w:pPr>
              <w:suppressAutoHyphens w:val="0"/>
              <w:spacing w:after="0"/>
              <w:jc w:val="center"/>
              <w:rPr>
                <w:color w:val="000000"/>
                <w:kern w:val="0"/>
                <w:lang w:eastAsia="ru-RU"/>
              </w:rPr>
            </w:pPr>
            <w:r w:rsidRPr="00561027">
              <w:rPr>
                <w:color w:val="000000"/>
                <w:kern w:val="0"/>
                <w:lang w:eastAsia="ru-RU"/>
              </w:rPr>
              <w:t>108 125,08</w:t>
            </w:r>
          </w:p>
        </w:tc>
      </w:tr>
      <w:tr w:rsidR="00561027" w:rsidRPr="00561027" w:rsidTr="00561027">
        <w:trPr>
          <w:trHeight w:val="397"/>
        </w:trPr>
        <w:tc>
          <w:tcPr>
            <w:tcW w:w="390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61027" w:rsidRPr="00561027" w:rsidRDefault="00561027" w:rsidP="00561027">
            <w:pPr>
              <w:suppressAutoHyphens w:val="0"/>
              <w:spacing w:after="0"/>
              <w:jc w:val="center"/>
              <w:rPr>
                <w:b/>
                <w:bCs/>
                <w:color w:val="000000"/>
                <w:kern w:val="0"/>
                <w:lang w:eastAsia="ru-RU"/>
              </w:rPr>
            </w:pPr>
            <w:r w:rsidRPr="00561027">
              <w:rPr>
                <w:b/>
                <w:bCs/>
                <w:color w:val="000000"/>
                <w:kern w:val="0"/>
                <w:lang w:eastAsia="ru-RU"/>
              </w:rPr>
              <w:t>ИТОГО:</w:t>
            </w:r>
          </w:p>
        </w:tc>
        <w:tc>
          <w:tcPr>
            <w:tcW w:w="1093" w:type="pct"/>
            <w:tcBorders>
              <w:top w:val="nil"/>
              <w:left w:val="nil"/>
              <w:bottom w:val="single" w:sz="4" w:space="0" w:color="auto"/>
              <w:right w:val="single" w:sz="4" w:space="0" w:color="auto"/>
            </w:tcBorders>
            <w:shd w:val="clear" w:color="auto" w:fill="auto"/>
            <w:vAlign w:val="center"/>
            <w:hideMark/>
          </w:tcPr>
          <w:p w:rsidR="00561027" w:rsidRPr="00561027" w:rsidRDefault="00561027" w:rsidP="00561027">
            <w:pPr>
              <w:suppressAutoHyphens w:val="0"/>
              <w:spacing w:after="0"/>
              <w:jc w:val="center"/>
              <w:rPr>
                <w:b/>
                <w:bCs/>
                <w:color w:val="000000"/>
                <w:kern w:val="0"/>
                <w:lang w:eastAsia="ru-RU"/>
              </w:rPr>
            </w:pPr>
            <w:r w:rsidRPr="00561027">
              <w:rPr>
                <w:b/>
                <w:bCs/>
                <w:color w:val="000000"/>
                <w:kern w:val="0"/>
                <w:lang w:eastAsia="ru-RU"/>
              </w:rPr>
              <w:t>108 125,08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8666B5" w:rsidRDefault="00561027" w:rsidP="00091AE8">
      <w:pPr>
        <w:spacing w:after="0"/>
        <w:jc w:val="center"/>
      </w:pPr>
      <w:r>
        <w:t xml:space="preserve">г. Донской, </w:t>
      </w:r>
      <w:proofErr w:type="spellStart"/>
      <w:r>
        <w:t>мкр</w:t>
      </w:r>
      <w:proofErr w:type="spellEnd"/>
      <w:r>
        <w:t>. Северо-Задонск, ул. Ленина, д. 18</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561027" w:rsidP="002B5D6A">
      <w:pPr>
        <w:jc w:val="center"/>
      </w:pPr>
      <w:r>
        <w:rPr>
          <w:color w:val="000000"/>
        </w:rPr>
        <w:t>108 125,08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27" w:rsidRDefault="00561027">
      <w:pPr>
        <w:spacing w:after="0"/>
      </w:pPr>
      <w:r>
        <w:separator/>
      </w:r>
    </w:p>
  </w:endnote>
  <w:endnote w:type="continuationSeparator" w:id="0">
    <w:p w:rsidR="00561027" w:rsidRDefault="00561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Pr="00394EB9" w:rsidRDefault="0056102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27" w:rsidRDefault="00561027">
      <w:pPr>
        <w:spacing w:after="0"/>
      </w:pPr>
      <w:r>
        <w:separator/>
      </w:r>
    </w:p>
  </w:footnote>
  <w:footnote w:type="continuationSeparator" w:id="0">
    <w:p w:rsidR="00561027" w:rsidRDefault="0056102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DA598E">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DA598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DA598E">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C797F5"/>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498DC-BA9F-43F1-A03C-52C272E3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17865</Words>
  <Characters>101834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2016-10-13T11:46:00Z</dcterms:created>
  <dcterms:modified xsi:type="dcterms:W3CDTF">2016-10-13T11:46:00Z</dcterms:modified>
</cp:coreProperties>
</file>